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D" w:rsidRDefault="000969DD" w:rsidP="001844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31F20"/>
          <w:sz w:val="21"/>
          <w:szCs w:val="21"/>
        </w:rPr>
      </w:pPr>
      <w:bookmarkStart w:id="0" w:name="_GoBack"/>
      <w:bookmarkEnd w:id="0"/>
    </w:p>
    <w:p w:rsidR="000969DD" w:rsidRDefault="000969DD" w:rsidP="00096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21"/>
          <w:szCs w:val="21"/>
        </w:rPr>
      </w:pPr>
      <w:r w:rsidRPr="000969DD">
        <w:rPr>
          <w:rFonts w:ascii="Calibri-Bold" w:hAnsi="Calibri-Bold" w:cs="Calibri-Bold"/>
          <w:b/>
          <w:bCs/>
          <w:noProof/>
          <w:color w:val="231F20"/>
          <w:sz w:val="21"/>
          <w:szCs w:val="21"/>
          <w:lang w:eastAsia="ru-RU"/>
        </w:rPr>
        <w:drawing>
          <wp:inline distT="0" distB="0" distL="0" distR="0">
            <wp:extent cx="1965960" cy="523605"/>
            <wp:effectExtent l="0" t="0" r="0" b="0"/>
            <wp:docPr id="5" name="Рисунок 5" descr="C:\Users\Дом\Desktop\ins_comp_REN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ns_comp_RENI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24" cy="52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DD" w:rsidRDefault="000969DD" w:rsidP="000969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21"/>
          <w:szCs w:val="21"/>
        </w:rPr>
      </w:pP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31F20"/>
          <w:sz w:val="21"/>
          <w:szCs w:val="21"/>
        </w:rPr>
      </w:pPr>
      <w:r>
        <w:rPr>
          <w:rFonts w:ascii="Calibri-Bold" w:hAnsi="Calibri-Bold" w:cs="Calibri-Bold"/>
          <w:b/>
          <w:bCs/>
          <w:color w:val="231F20"/>
          <w:sz w:val="21"/>
          <w:szCs w:val="21"/>
        </w:rPr>
        <w:t>Программа медицинского обслуживания взрослых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31F20"/>
          <w:sz w:val="21"/>
          <w:szCs w:val="21"/>
        </w:rPr>
      </w:pPr>
      <w:r>
        <w:rPr>
          <w:rFonts w:ascii="Calibri-Bold" w:hAnsi="Calibri-Bold" w:cs="Calibri-Bold"/>
          <w:b/>
          <w:bCs/>
          <w:color w:val="231F20"/>
          <w:sz w:val="21"/>
          <w:szCs w:val="21"/>
        </w:rPr>
        <w:t>«Комплексная программа ДМС»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Контакты круглосуточного медицинского пульта Ренессанс Страхование (далее – Пульт):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8 (800) 200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04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 xml:space="preserve">03 </w:t>
      </w:r>
      <w:r>
        <w:rPr>
          <w:rFonts w:ascii="Calibri" w:hAnsi="Calibri" w:cs="Calibri"/>
          <w:color w:val="231F20"/>
          <w:sz w:val="16"/>
          <w:szCs w:val="16"/>
        </w:rPr>
        <w:t>федеральный номер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8 (495) 725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10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 xml:space="preserve">10 </w:t>
      </w:r>
      <w:r>
        <w:rPr>
          <w:rFonts w:ascii="Calibri" w:hAnsi="Calibri" w:cs="Calibri"/>
          <w:color w:val="231F20"/>
          <w:sz w:val="16"/>
          <w:szCs w:val="16"/>
        </w:rPr>
        <w:t>Москва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8 (812) 320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87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 xml:space="preserve">26 </w:t>
      </w:r>
      <w:r>
        <w:rPr>
          <w:rFonts w:ascii="Calibri" w:hAnsi="Calibri" w:cs="Calibri"/>
          <w:color w:val="231F20"/>
          <w:sz w:val="16"/>
          <w:szCs w:val="16"/>
        </w:rPr>
        <w:t>Санкт‐Петербург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 полису добровольного медицинского страхования СТРАХОВЫМ СОБЫТИЕМ является: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Обращение Застрахованного лица в течение периода страхования в медицинскую организацию в целях получения медицинских услуг по поводу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острых или обострения хронических заболеваний, травм, отравлений, в соответствии с настоящим Договором страхования и Программой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страхования, и повлекшее возникновение обязательств Страховщика произвести оплату данных медицинских и (или) иных услуг.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При наступлении страхового случая Застрахованный должен следовать порядку обращения за медицинской помощью, отраженному в настоящей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Программе.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Скачайте мобильное приложение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 xml:space="preserve">Ренессанс Здоровье </w:t>
      </w:r>
      <w:r>
        <w:rPr>
          <w:rFonts w:ascii="Calibri" w:hAnsi="Calibri" w:cs="Calibri"/>
          <w:color w:val="231F20"/>
          <w:sz w:val="16"/>
          <w:szCs w:val="16"/>
        </w:rPr>
        <w:t xml:space="preserve">в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AppleStore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или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GooglePlay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(для смартфонов на базе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iOs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или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Android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) и получите доступ ко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всем сервисам по вашему полису.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В рамках программы предоставляются услуги в объеме: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Амбулаторно</w:t>
      </w:r>
      <w:r>
        <w:rPr>
          <w:rFonts w:ascii="Cambria Math" w:hAnsi="Cambria Math" w:cs="Cambria Math"/>
          <w:b/>
          <w:bCs/>
          <w:color w:val="231F20"/>
          <w:sz w:val="16"/>
          <w:szCs w:val="16"/>
        </w:rPr>
        <w:t>‐</w:t>
      </w:r>
      <w:r>
        <w:rPr>
          <w:rFonts w:ascii="Arial" w:hAnsi="Arial" w:cs="Arial"/>
          <w:b/>
          <w:bCs/>
          <w:color w:val="231F20"/>
          <w:sz w:val="16"/>
          <w:szCs w:val="16"/>
        </w:rPr>
        <w:t>поликлиническая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 xml:space="preserve"> помощь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1.1.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1.1.1. Лечебно‐диагностические и консультативные приемы врачей: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терапевта, хирурга, гинеколога, уролога, отоларинголога, эндокринолога, инфекциониста, дерматолога, офтальмолога,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гастроэнтеролога, кардиолога, физиотерапевта, травматолога‐ортопеда, невролога, аллерголога‐иммунолога, пульмонолога,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ревматолога, нефролога, гематолога, проктолога;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онколога (до установления диагноза).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1.1.2. Выдача листков нетрудоспособности, рецептов (кроме льготных).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1.1.3. Лабораторно‐диагностические исследования: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бактериологические, биохимические, общеклинические, гистологические, цитологические исследования;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исследование гормонов щитовидной железы;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исследование 5 половых гормонов – не более 1 раза за период страхования, другие гормональные исследования ‐ по согласованию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со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Cтраховщиком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исследование методом ПЦР на 5 урогенитальных инфекций, включая заболевания, передающиеся половым путем ‐ не более одного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раза в течение срока страхования.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1.1.4. Инструментальные исследования: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рентгенологические и ультразвуковые исследования, компьютерная томография, магнитно‐резонансная томография не более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одного раза за период страхования, по согласованию со Страховщиком;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функциональная диагностика (ЭКГ, РВГ, РЭГ, ЭЭГ, исследование функции внешнего дыхания,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холтеровское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мониторирование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ЭКГ и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суточное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мониторирование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АД);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эндоскопические исследования органов пищеварения.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1.2.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Поликлиническая помощь предоставляется только по предварительной записи на прием к необходимому специалисту по телефону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круглосуточного медицинского пульта.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2.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Помощь на дому (при возможности организации помощи).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Оказание врачебной помощи на дому Застрахованным, которые по состоянию здоровья, характеру заболевания не могут посетить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поликлинику, нуждаются в постельном режиме и наблюдении врача.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2.1.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осмотр врачом‐терапевтом на дому в пределах административных границ города (для Москвы – в пределах МКАД, для Санкт‐Петербурга –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в пределах административных границ города, а также в д.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Кудрово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Всеволожского р‐на, во Всеволожске, Гатчине, Выборге, Колпино);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экспертиза временной нетрудоспособности (открытие листков временной нетрудоспособности), оформление рецептов на лекарственные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препараты (кроме льготных).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2.2.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Вызов врача на дом осуществляется по телефону круглосуточного медицинского пульта. Прием заявок на вызов врача на дом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осуществляется: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Москвы и Санкт‐Петербурга ‐ в рабочие и выходные дни, с 9:00 до 12:00;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других городов ‐ в рабочие дни, с 9:00 до 12:00.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3.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Стоматологическая помощь.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3.1. </w:t>
      </w:r>
      <w:r>
        <w:rPr>
          <w:rFonts w:ascii="Calibri-Bold" w:hAnsi="Calibri-Bold" w:cs="Calibri-Bold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Специализированная стоматологическая помощь в неотложной форме: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анестезия местная (аппликационная, инфильтрационная, проводниковая,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интралигаментарная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рентгенологическая диагностика прицельная рентгенография,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ортопантомограмма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с целью диагностики переломов верхней и нижней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челюсти;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удаление зубов (кроме удаления зубов по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ортодонтическим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 ортопедическим показаниям);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вправление вывихов зубов;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оперативное лечение абсцессов полости рта;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 поводу острой зубной боли при пульпитах и периодонтитах: трепанация зуба, удаление пульпы, обработка антисептиком, наложение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временной пломбы.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3.2.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lastRenderedPageBreak/>
        <w:t>Стоматологическая помощь предоставляется только по предварительной записи на прием к необходимому специалисту по телефону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круглосуточного медицинского пульта.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4.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Скорая неотложная помощь.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Оказывается в случаях возникновения состояний и заболеваний, угрожающих жизни и здоровью Застрахованных.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4.1.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выезд бригады скорой помощи в пределах административных границ города (для Москвы – в пределах 5 0км от МКАД, для Санкт‐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Петербурга в пределах административной границы Ленинградской области), осмотр врача, проведение экспресс‐диагностики,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купирование неотложного состояния;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медицинская транспортировка при необходимости экстренной медицинской помощи в стационарных условиях.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 исключительных случаях (при невозможности организации данной помощи), по жизненным показаниям, скорая медицинская помощь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может быть оказана бригадой государственной (муниципальной) скорой медицинской помощи «03».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4.2.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получения медицинской помощи, Застрахованный или его представитель, должен обратиться на круглосуточный медицинский пульт с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целью дальнейшей организацией необходимой медицинской помощи сотрудниками Пульта.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5.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Экстренная госпитализация.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Экстренная медицинская помощь в стационарных условиях осуществляется по жизненным показаниям при состоянии здоровья, требующем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срочного оказания медицинской помощи в стационарных условиях, в том числе лечение патологии беременности на сроке до 8 недель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(включая прерывание беременности по медицинским показаниям)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 xml:space="preserve"> ;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производится страховой компанией в медицинские организации,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оказывающие медицинскую помощь в стационарных условиях и предусмотренные программой Застрахованного, или в другие медицинские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организации, имеющие договорные отношения со страховой компанией, с учетом наличия свободных мест. Право выбора медицинского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учреждения остается за Страховщиком.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 исключительных случаях экстренная медицинская помощь может быть осуществлена в ближайшей к месту нахождения Застрахованного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городской больнице, способной оказать соответствующую помощь, в том числе с использованием услуг городской станции скорой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медицинской помощи. В дальнейшем Застрахованный, с учетом его согласия и состояния здоровья, может быть переведен Страховщиком в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медицинскую организацию из числа предусмотренных в программе.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Если при поступлении, в связи с отсутствием мест в палате, предусмотренной Договором, пациента разместили в многоместной палате, то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Страховщик принимает все меры для перевода Застрахованного в палату с количеством мест, оговоренных в Договоре.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Если срок действия договора закончился, а лечение по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остротекущему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заболеванию Застрахованного не завершено, Страховщик берет на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себя расходы на оплату медицинских услуг при оказании экстренной медицинской помощи в стационарных условиях до его выписки из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медицинской организации, но не более 15 (Пятнадцати) календарных дней с даты окончания срока действия Договора.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5.1.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пребывание и получение медицинских услуг преимущественно в 2‐3‐х местной палате;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консультации и другие профессиональные услуги врачей;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диагностические лабораторные и инструментальные исследования, проводимые по поводу заболевания, послужившего основанием для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получения медицинской помощи в стационарных условиях в отделения следующего профиля: терапия (общая)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 xml:space="preserve"> ,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кардиология,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ревматология, гастроэнтерология, пульмонология, эндокринология, нефрология, неврология, инфекционные болезни (если в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медицинской организации, включенной в программу Застрахованного, есть инфекционное отделение)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 xml:space="preserve"> ,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травматология, урология,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хирургия (общая), сосудистая хирургия, проктология, гинекология, отоларингология, офтальмология;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консервативное и/или оперативное лечение (к лечению, проводимому в условиях стационара одного дня или дневного стационара,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относятся оперативные вмешательства, лечебные процедуры, требующие специальной подготовки больного и/или его краткосрочного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медицинского наблюдения) в необходимом объеме. Лечение патологии беременности (в том числе прерывание беременности по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медицинским показаниям) на сроке до 8 недель;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назначение и применение лекарственных препаратов, анестетиков, кислорода и т.д.;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proofErr w:type="spellStart"/>
      <w:r>
        <w:rPr>
          <w:rFonts w:ascii="Calibri" w:hAnsi="Calibri" w:cs="Calibri"/>
          <w:color w:val="231F20"/>
          <w:sz w:val="16"/>
          <w:szCs w:val="16"/>
        </w:rPr>
        <w:t>физиолечение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: электро‐,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магнито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‐, свето‐,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лазеро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‐, теплолечение, ингаляции, классический лечебный массаж, занятия ЛФК, классическая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proofErr w:type="spellStart"/>
      <w:r>
        <w:rPr>
          <w:rFonts w:ascii="Calibri" w:hAnsi="Calibri" w:cs="Calibri"/>
          <w:color w:val="231F20"/>
          <w:sz w:val="16"/>
          <w:szCs w:val="16"/>
        </w:rPr>
        <w:t>корпоральная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иглорефлексотерапия, мануальная терапия ‐ по назначению врача, в случаях, когда эти процедуры необходимы для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лечения заболевания, послужившего причиной госпитализации;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лечебное питание, уход медицинского персонала.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5.2.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получения медицинской помощи, Застрахованный или его представитель, должен обратиться на круглосуточный медицинский пульт с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целью дальнейшей организацией необходимой медицинской помощи сотрудниками Пульта.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6.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Травмпункт (при возможности организации помощи).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6.1.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прием врача‐травматолога;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функциональная диагностика;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выполняемые врачами и средним медицинским персоналом процедуры и манипуляции (наложение гипса, повязок, хирургическая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обработка раны);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экстренная вакцинация против столбняка, бешенства.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6.2.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получения медицинской помощи, Застрахованный или его представитель, должен обратиться на круглосуточный медицинский пульт с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целью дальнейшей организацией необходимой медицинской помощи сотрудниками Пульта.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7.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Телемедицина.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7.1.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Объем помощи: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первичные и повторные консультации дежурного Врача‐консультанта (терапевта, врача общей практики, педиатра)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 xml:space="preserve"> ,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выполняемые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удаленно через сеть Интернет круглосуточно с понедельника по воскресенье (24х7</w:t>
      </w:r>
      <w:proofErr w:type="gramStart"/>
      <w:r>
        <w:rPr>
          <w:rFonts w:ascii="Calibri" w:hAnsi="Calibri" w:cs="Calibri"/>
          <w:color w:val="231F20"/>
          <w:sz w:val="16"/>
          <w:szCs w:val="16"/>
        </w:rPr>
        <w:t xml:space="preserve"> )</w:t>
      </w:r>
      <w:proofErr w:type="gramEnd"/>
      <w:r>
        <w:rPr>
          <w:rFonts w:ascii="Calibri" w:hAnsi="Calibri" w:cs="Calibri"/>
          <w:color w:val="231F20"/>
          <w:sz w:val="16"/>
          <w:szCs w:val="16"/>
        </w:rPr>
        <w:t xml:space="preserve"> после получения заявки через Сервис – без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ограничений по числу обращений в течение действия договора страхования;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первичные и повторные консультации врачей‐консультантов (специалистов – консультантов в рамках Сервиса), участвующих в оказании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услуг, выполняемые удаленно через сеть Интернет по предварительной записи – без ограничений по числу обращений в течение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действия договора страхования. Услуги в форме консультации по записи врачом‐консультантом (специалистом) могут быть оказаны только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 заранее указанное при записи время.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7.2.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Порядок обращения: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Для получения консультации врача сети клиник «Доктор рядом» в формате чата или аудио‐ видеосвязи необходимо: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lastRenderedPageBreak/>
        <w:t>скачать мобильное приложение «Ренессанс Здоровье» или зайти на сайт https://telemed.drclinics.ru/renaissance/patient/choose;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зарегистрироваться;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выбрать необходимого специалиста, удобный день, время для связи и оформить запись.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При возникновении вопросов относительно использования сервиса, обратитесь по телефону технической поддержки: 8 800 550‐69‐79.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8.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Психологическая поддержка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8.1. Телефонная служба психологической поддержки: профессиональные психологи консультируют и дают рекомендации по вопросам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детско‐родительских отношений, семьи и брака, возрастных кризисов, проблем личностного роста и адаптации в коллективе и др. Звонок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анонимный.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8.2.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 xml:space="preserve">8 (800) 200‐100‐9 </w:t>
      </w:r>
      <w:r>
        <w:rPr>
          <w:rFonts w:ascii="Calibri" w:hAnsi="Calibri" w:cs="Calibri"/>
          <w:color w:val="231F20"/>
          <w:sz w:val="16"/>
          <w:szCs w:val="16"/>
        </w:rPr>
        <w:t>– бесплатно для звонков из всех регионов России. Время работы линии с 8:00 до 20:00 по рабочим дням и с 9:00 до 19:00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 выходным (время московское).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Необходимо назвать код: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Сххххххх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 где «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ххххххх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» ‐ последние 7 цифр вашего полиса.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9.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Исключения из страхового покрытия.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СТРАХОВЫМ СЛУЧАЕМ не является обращение Застрахованного в медицинское учреждение по поводу следующих заболеваний/состояний и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связанных с ними осложнений: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9.1. онкологических заболеваний, заболеваний крови опухолевой природы, опухолей и новообразований центральной нервной системы;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9.2. хронических заболеваний крови;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9.3. сахарного диабета I и II типа;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9.4. профессиональных заболеваний;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9.5. туберкулеза;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9.6. психических заболеваний, органических психических расстройств, расстройств поведения, невротических расстройств, эпилепсии и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других судорожных синдромов;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9.7. ВИЧ‐инфекции, подтвержденных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иммунодефицитных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состояний;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9.8. венерических заболеваний, сифилиса, особо опасных инфекций (натуральная оспа, чума, сибирская язва, холера, вирусные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геморрагические лихорадки и другие особо опасные инфекции согласно нормативным документам органов управления здравоохранением)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и их осложнений;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9.9. лечения заболеваний, передающихся преимущественно половым путем;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9.10. хронических вирусных заболеваний, хронических гепатитов, циррозов печени;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9.11. заболеваний, сопровождающиеся хронической почечной или печеночной недостаточностью;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9.12. болезни Крона, неспецифического язвенного колита;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9.13. псориаза, глубоких форм микозов;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9.14. дегенеративных 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демиелинизирующих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болезней нервной системы, церебрального паралича, цереброваскулярной болезни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(хронической ишемии головного мозга,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дисциркуляторной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энцефалопатии);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9.15.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генерализованного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(распространенного) атеросклероза,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кондуктивной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нейросенсорной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потери слуха;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9.16. системных заболеваний соединительной ткани, всех недифференцированных коллагенозов;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9.17. врожденной и наследственной патологии (включая хромосомные нарушения, последствия родовых травм) и аномалий развития;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9.18. заболеваний, являющихся причиной установления инвалидности I – II группы;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9.19. заболеваний органов и тканей, лечение которых требует: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трансплантации, имплантации, протезирования, в том числе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эндопротезирования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реконструктивных и пластических операций всех видов, включая устранение последствий травм;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герниопластики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9.20. травм, состояний и/или болезней, вызванных: всеми видами профессионального спорта</w:t>
      </w:r>
      <w:r>
        <w:rPr>
          <w:rFonts w:ascii="Calibri" w:hAnsi="Calibri" w:cs="Calibri"/>
          <w:color w:val="231F20"/>
          <w:sz w:val="13"/>
          <w:szCs w:val="13"/>
        </w:rPr>
        <w:t>1</w:t>
      </w:r>
      <w:r>
        <w:rPr>
          <w:rFonts w:ascii="Calibri" w:hAnsi="Calibri" w:cs="Calibri"/>
          <w:color w:val="231F20"/>
          <w:sz w:val="16"/>
          <w:szCs w:val="16"/>
        </w:rPr>
        <w:t>; определенными видами спорта и физической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активности, классифицируемыми как связанные с риском для жизни или здоровья</w:t>
      </w:r>
      <w:r>
        <w:rPr>
          <w:rFonts w:ascii="Calibri" w:hAnsi="Calibri" w:cs="Calibri"/>
          <w:color w:val="231F20"/>
          <w:sz w:val="13"/>
          <w:szCs w:val="13"/>
        </w:rPr>
        <w:t>2</w:t>
      </w:r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9.21. расстройств здоровья, вызванных установленным фактом употребления алкоголя, наркотических или токсических веществ, а также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полученных Застрахованным в этих состояниях травм, ожогов, отморожений, острых отравлений, повреждений внутренних органов;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9.22. умышленного причинения себе телесных повреждений, в том числе с покушением на самоубийство.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 </w:t>
      </w:r>
      <w:r>
        <w:rPr>
          <w:rFonts w:ascii="Calibri" w:hAnsi="Calibri" w:cs="Calibri"/>
          <w:b/>
          <w:bCs/>
          <w:color w:val="231F20"/>
          <w:sz w:val="16"/>
          <w:szCs w:val="16"/>
        </w:rPr>
        <w:t>Страховщик не оплачивает: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10.1. покрытие расходов на лекарственные препараты для медицинского применения (кроме программы «Экстренная госпитализация»),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очки, контактные линзы, слуховые аппараты,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стенты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имплантанты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 другие дополнительные медицинские устройства (кроме указанных в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программе страхования) и приспособления, контрастные вещества и расходные материалы индивидуального назначения, в том числе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требующиеся в ходе оперативного вмешательства;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10.2. в рамках программы «Стоматологическая помощь»: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лечение заболеваний тканей пародонта (за исключением купирования острых состояний при заболеваниях тканей пародонта);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лечение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ортодонтических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нарушений;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протезирование зубов и подготовку к нему;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лечение зубов с разрушением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коронковой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части более чем на 50%;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использование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парапульпарных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 углеводородных, стекловолоконных и анкерных штифтов, установление вкладок;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«сэндвич‐методики»;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условное лечение зубов (без гарантии);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лечение ранее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депульпированных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зубов;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глубокое фторирование зубов;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пластические операции;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лечебные манипуляции на зубах, покрытых ортопедическими 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ортодонтическими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конструкциями;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косметические стоматологические услуги (включая отбеливание зубов, снятие пигментированного зубного налета –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Air‐Flow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художественную реставрацию, установку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виниров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снятие зубных отложений, герметизация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фиссур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заболеваний твердых тканей зубов, ретинированных 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дистопированных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зубов (кроме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случаев, предусмотренных Программой),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зубосохраняющие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операции;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использование аппарата «Вектор».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10.3. процедуры и операции, проводимые с эстетической или косметической целью (в том числе удаления и лечения мозолей, папиллом,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бородавок,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невусов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и кондилом), лечение атером, липом;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10.4. диагностику и лечение расстройств сна, храпа;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10.5. услуги по планированию семьи;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10.6. ведение беременности и обследования, связанные с беременностью;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10.7. услуги при патологии беременности на сроке более 8 недель, при патологии беременности наступившей с использованием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вспомогательных репродуктивных технологий на любом сроке; прерывание беременности без наличия медицинских показаний, лечение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lastRenderedPageBreak/>
        <w:t>осложнений после прерывания беременности и родов;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10.8. родовспоможение;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10.9. лечение заболеваний, сопутствующих беременности;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10.10. гормональные и другие исследования с целью подбора методов контрацепции, заместительной гормональной терапии;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10.11. диагностику и лечение бесплодия, нарушений потенции;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10.12. подбора методов контрацепции (в том числе введение и удаление ВМС);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10.13. искусственное оплодотворение,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эмболизацию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маточных артерий;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10.14. диспансеризацию, любые профилактические мероприятия, в том числе при любых видах дистрофий и дегенераций, профилактические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осмотры врачей, динамическое наблюдение хронических заболеваний;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10.15. консультации и лечение у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трихолога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сомнолога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диетолога,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фониатра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врача‐гомеопата,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гнатолога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10.16. консультации логопеда, психолога;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10.17. кардиохирургические и сосудистые операции;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10.18. хирургическое лечение ортопедических заболеваний, нейрохирургические вмешательства, использование метода радиочастотной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абляции, электрофизиологические исследования;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10.19. имплантацию и проверку электрокардиостимулятора;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10.20. ангиографию, ПЭТ, денситометрию, радиоизотопные исследования;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10.21. лабораторную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аллергодиагностику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10.22. ДНК и РНК диагностику, генетические и цитогенетические исследования;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10.23. микробиологические исследования при диагностике заболеваний, передающихся половым путем;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10.24. исследования нарушений метаболизма;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10.25. определение маркеров резорбции костей,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онкомаркеры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10.26. водолечение и грязелечение,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галотерапию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спелеотерапию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10.27. биорезонансную терапию, диагностику и лечение по методу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Фолля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 аутогемотерапию, гирудотерапию, аппаратное лечение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простатитов, лечение методом ударно‐волновой терапии;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10.28. нетрадиционные методы лечения;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10.29. психодиагностику и психотерапию;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10.30. инъекционную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склеротерапию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10.31. контактную и лазерную коррекцию зрения, профилактику и лечение косоглазия, астигматизма и близорукости;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10.32. манипуляции с использованием аппаратно‐программных комплексов в офтальмологии;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10.33. применение хирургического лазера и радиохирургические методы лечения;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10.34. экстракорпоральные методы лечения: гемодиализ,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плазмоферез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гемосорбция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гемофильтрация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, ультрафиолетовое и лазерное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 xml:space="preserve">облучение крови,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озонотерапия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нормо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‐,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гипер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‐ и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гипобарическую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оксигенацию</w:t>
      </w:r>
      <w:proofErr w:type="spellEnd"/>
      <w:r>
        <w:rPr>
          <w:rFonts w:ascii="Calibri" w:hAnsi="Calibri" w:cs="Calibri"/>
          <w:color w:val="231F20"/>
          <w:sz w:val="16"/>
          <w:szCs w:val="16"/>
        </w:rPr>
        <w:t>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10.35. организацию «стационара на дому», индивидуального поста в стационаре;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10.36. услуги «дневного стационара», стационара «одного дня»;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10.37. медицинские услуги, связанные с подготовкой к плановой госпитализации;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10.38. вакцинацию;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10.39. специфическую иммунотерапию с аллергенами (СИТ);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10.40. реабилитационное ‐ восстановительное лечение;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10.41. медицинское освидетельствование с выдачей справок на управление транспортным средством в ГИБДД, на ношение оружия, для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выезда за границу, для поступления в высшие учебные заведения и на работу, для посещения бассейна; обследования и оформление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санаторно‐курортной карты, посыльного листа в МСЭК, заключения по результатам периодических медицинских осмотров;</w:t>
      </w:r>
    </w:p>
    <w:p w:rsidR="00184468" w:rsidRDefault="00184468" w:rsidP="00184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6"/>
          <w:szCs w:val="16"/>
        </w:rPr>
      </w:pPr>
      <w:r>
        <w:rPr>
          <w:rFonts w:ascii="Calibri" w:hAnsi="Calibri" w:cs="Calibri"/>
          <w:color w:val="231F20"/>
          <w:sz w:val="16"/>
          <w:szCs w:val="16"/>
        </w:rPr>
        <w:t>10.42. медицинские услуги, оказанные по желанию пациента;</w:t>
      </w:r>
    </w:p>
    <w:p w:rsidR="007F024A" w:rsidRDefault="00184468" w:rsidP="00184468">
      <w:r>
        <w:rPr>
          <w:rFonts w:ascii="Calibri" w:hAnsi="Calibri" w:cs="Calibri"/>
          <w:color w:val="231F20"/>
          <w:sz w:val="16"/>
          <w:szCs w:val="16"/>
        </w:rPr>
        <w:t>10.43. медицинские и иные услуги, не предусмотренные программой.__</w:t>
      </w:r>
    </w:p>
    <w:sectPr w:rsidR="007F024A" w:rsidSect="000842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8"/>
    <w:rsid w:val="000842A9"/>
    <w:rsid w:val="000969DD"/>
    <w:rsid w:val="00184468"/>
    <w:rsid w:val="007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2864</Words>
  <Characters>16328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Юля</dc:creator>
  <cp:keywords/>
  <dc:description/>
  <cp:lastModifiedBy>Тамара</cp:lastModifiedBy>
  <cp:revision>4</cp:revision>
  <dcterms:created xsi:type="dcterms:W3CDTF">2021-09-15T21:11:00Z</dcterms:created>
  <dcterms:modified xsi:type="dcterms:W3CDTF">2022-04-25T13:45:00Z</dcterms:modified>
</cp:coreProperties>
</file>